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to urządzenie, które obecnie spotkamy niemalże wszędzie. Znajduje się w każdym biurze i często jest niezbędnym narzędziem pracy. Podejmując decyzję o jego zakupie zastanawiamy się nad parametrami, możliwościami, a nawet wyglądem danego sprzętu. Warto zatem wiedzieć, czym się kierować wybierając swój komputer.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stacjonarny, czy laptop?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elektroniki jest obecnie tak duży, że nie sposób szybko zdecydować się na zakup.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być urządzeniem dopasowanym do naszych indywidualnych potrzeb i oczekiwań. W zależności od wykorzystania, możemy wyróżnić modele odpowiednio przystosowane zarówno dla pracowników biurowych, graczy, czy grafików. W przypadku komputerów stacjonarnych konieczne będzie także dobranie odpowiedniego monitora, klawiatury, myszki. Kluczową rolę odgrywają jednak wszelkie podzespoły z jakich składa się 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dla gracza i grafika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 </w:t>
      </w:r>
      <w:r>
        <w:rPr>
          <w:rFonts w:ascii="calibri" w:hAnsi="calibri" w:eastAsia="calibri" w:cs="calibri"/>
          <w:sz w:val="24"/>
          <w:szCs w:val="24"/>
          <w:b/>
        </w:rPr>
        <w:t xml:space="preserve">komputer</w:t>
      </w:r>
      <w:r>
        <w:rPr>
          <w:rFonts w:ascii="calibri" w:hAnsi="calibri" w:eastAsia="calibri" w:cs="calibri"/>
          <w:sz w:val="24"/>
          <w:szCs w:val="24"/>
        </w:rPr>
        <w:t xml:space="preserve"> ostatecznie wybierzemy będzie zależeć od tego, co chcemy na nim robić. Gracze z pewnością postawią na dobrą grafikę, mocny i wydajny dysk, czy solidną płytę główną. Z pewnością zainteresują się także wszelkimi akcesoriami w postaci głośników, słuchawek, czy mikrofonów. Innym podejściem kierować się będą graficy, czy programiści. Ci pierwsi będą potrzebować dysku o dużej pojemności i solidnej karty graficznej. Skupią się także na solidnym monitorze z dobrym odzwierciedleniem kolorów. Programiści wybiorą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komputer</w:t>
      </w:r>
      <w:r>
        <w:rPr>
          <w:rFonts w:ascii="calibri" w:hAnsi="calibri" w:eastAsia="calibri" w:cs="calibri"/>
          <w:sz w:val="24"/>
          <w:szCs w:val="24"/>
        </w:rPr>
        <w:t xml:space="preserve"> odpowiednio przystosowany do skomplikowanych obliczeń. W ich przypadku kluczowa będzie wydajność, rodzaj procesora, czy wielkość pamięci RAM.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uter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2026-07-10T18:42:16+02:00</dcterms:created>
  <dcterms:modified xsi:type="dcterms:W3CDTF">2026-07-10T18:42:16+02:00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